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02145"/>
          <w:sz w:val="20"/>
          <w:szCs w:val="20"/>
        </w:rPr>
        <w:t xml:space="preserve">MY BRAND GENIUS</w:t>
      </w:r>
    </w:p>
    <w:p>
      <w:pPr>
        <w:spacing w:after="60"/>
      </w:pPr>
      <w:r>
        <w:rPr>
          <w:b/>
          <w:bCs/>
          <w:color w:val="FF9900"/>
          <w:sz w:val="40"/>
          <w:szCs w:val="40"/>
        </w:rPr>
        <w:t xml:space="preserve">Your Paid Amazon Account Audit</w:t>
      </w:r>
    </w:p>
    <w:p>
      <w:pPr>
        <w:spacing w:after="300"/>
      </w:pPr>
      <w:r>
        <w:rPr>
          <w:i/>
          <w:iCs/>
          <w:color w:val="3C4B5C"/>
          <w:sz w:val="22"/>
          <w:szCs w:val="22"/>
        </w:rPr>
        <w:t xml:space="preserve">What's Included — Scope &amp; Data Checklist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A full diagnostic of your Amazon account across advertising, catalog health, keyword visibility, and competitive positioning, backed by enterprise-grade Amazon market intelligence and delivered as a written report with a prioritized action plan.</w:t>
      </w:r>
    </w:p>
    <w:p>
      <w:pPr>
        <w:pStyle w:val="Heading1"/>
        <w:pBdr>
          <w:bottom w:val="single" w:color="FF9900" w:sz="12" w:space="4"/>
        </w:pBdr>
        <w:spacing w:after="160" w:before="320"/>
      </w:pPr>
      <w:r>
        <w:rPr>
          <w:b/>
          <w:bCs/>
          <w:color w:val="102145"/>
          <w:sz w:val="28"/>
          <w:szCs w:val="28"/>
        </w:rPr>
        <w:t xml:space="preserve">What Your Audit Covers</w:t>
      </w:r>
    </w:p>
    <w:p>
      <w:pPr>
        <w:spacing w:after="100" w:before="220"/>
      </w:pPr>
      <w:r>
        <w:rPr>
          <w:b/>
          <w:bCs/>
          <w:color w:val="102145"/>
          <w:sz w:val="23"/>
          <w:szCs w:val="23"/>
        </w:rPr>
        <w:t xml:space="preserve">Account &amp; Catalog Health Review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ASIN-level performance review across 30 / 60 / 90-day windows: sessions, conversion rate, and revenue trend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Hero product and underperformer identification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Listing health flags: suppressions, missing content, variation issues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SKU tiering (Hero / Growth / Maintenance / Exit) with a plain-language rationale for each</w:t>
      </w:r>
    </w:p>
    <w:p>
      <w:pPr>
        <w:spacing w:after="100" w:before="220"/>
      </w:pPr>
      <w:r>
        <w:rPr>
          <w:b/>
          <w:bCs/>
          <w:color w:val="102145"/>
          <w:sz w:val="23"/>
          <w:szCs w:val="23"/>
        </w:rPr>
        <w:t xml:space="preserve">Advertising &amp; PPC Performance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Campaign-level spend, ACOS, and TACOS benchmarking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Placement performance breakdown: Top of Search vs. Rest of Search vs. Product Pages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Wasted-spend and negative-keyword gap analysis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Full account structure review: every campaign, ad group, keyword, and bid audited in one pass</w:t>
      </w:r>
    </w:p>
    <w:p>
      <w:pPr>
        <w:spacing w:after="100" w:before="220"/>
      </w:pPr>
      <w:r>
        <w:rPr>
          <w:b/>
          <w:bCs/>
          <w:color w:val="102145"/>
          <w:sz w:val="23"/>
          <w:szCs w:val="23"/>
        </w:rPr>
        <w:t xml:space="preserve">Keyword &amp; Organic Visibility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Search-term and organic rank tracking against your closest named competitors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Keyword gap and whitespace opportunity mapping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Indexing and ranking health check on your hero product(s)</w:t>
      </w:r>
    </w:p>
    <w:p>
      <w:pPr>
        <w:spacing w:after="100" w:before="220"/>
      </w:pPr>
      <w:r>
        <w:rPr>
          <w:b/>
          <w:bCs/>
          <w:color w:val="102145"/>
          <w:sz w:val="23"/>
          <w:szCs w:val="23"/>
        </w:rPr>
        <w:t xml:space="preserve">Competitive Benchmarking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Named comparison against your top 6-8 competing brands: revenue, rating, review count, and price positioning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Category share and market positioning analysis</w:t>
      </w:r>
    </w:p>
    <w:p>
      <w:pPr>
        <w:spacing w:after="100" w:before="220"/>
      </w:pPr>
      <w:r>
        <w:rPr>
          <w:b/>
          <w:bCs/>
          <w:color w:val="102145"/>
          <w:sz w:val="23"/>
          <w:szCs w:val="23"/>
        </w:rPr>
        <w:t xml:space="preserve">Findings &amp; Growth Roadmap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Growth opportunity flags across catalog, advertising, and keyword performance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Prioritized action plan: what to fix first, what to test, and expected impact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A written value assessment tying every finding to a specific, actionable next step</w:t>
      </w:r>
    </w:p>
    <w:p>
      <w:pPr>
        <w:pStyle w:val="Heading1"/>
        <w:pBdr>
          <w:bottom w:val="single" w:color="FF9900" w:sz="12" w:space="4"/>
        </w:pBdr>
        <w:spacing w:after="160" w:before="320"/>
      </w:pPr>
      <w:r>
        <w:rPr>
          <w:b/>
          <w:bCs/>
          <w:color w:val="102145"/>
          <w:sz w:val="28"/>
          <w:szCs w:val="28"/>
        </w:rPr>
        <w:t xml:space="preserve">What We'll Need From You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To build this audit, we need a handful of reports pulled directly from your Seller Central or Vendor Central account, all covering the same trailing 30-day window. None of it requires any technical setup on your side, exporting everything below typically takes about 20 minutes total.</w:t>
      </w:r>
    </w:p>
    <w:tbl>
      <w:tblPr>
        <w:tblW w:type="dxa" w:w="964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16"/>
        <w:gridCol w:w="3666"/>
        <w:gridCol w:w="1544"/>
        <w:gridCol w:w="2123"/>
      </w:tblGrid>
      <w:tr>
        <w:trPr>
          <w:tblHeader/>
        </w:trPr>
        <w:tc>
          <w:tcPr>
            <w:tcW w:type="dxa" w:w="2316"/>
            <w:shd w:fill="10214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Report</w:t>
            </w:r>
          </w:p>
        </w:tc>
        <w:tc>
          <w:tcPr>
            <w:tcW w:type="dxa" w:w="3666"/>
            <w:shd w:fill="10214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Where to Find It</w:t>
            </w:r>
          </w:p>
        </w:tc>
        <w:tc>
          <w:tcPr>
            <w:tcW w:type="dxa" w:w="1544"/>
            <w:shd w:fill="10214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Date Range</w:t>
            </w:r>
          </w:p>
        </w:tc>
        <w:tc>
          <w:tcPr>
            <w:tcW w:type="dxa" w:w="2123"/>
            <w:shd w:fill="10214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Export Time</w:t>
            </w:r>
          </w:p>
        </w:tc>
      </w:tr>
      <w:tr>
        <w:tc>
          <w:tcPr>
            <w:tcW w:type="dxa" w:w="23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Business Report – Parent Items</w:t>
            </w:r>
          </w:p>
        </w:tc>
        <w:tc>
          <w:tcPr>
            <w:tcW w:type="dxa" w:w="366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Seller Central &gt; Reports &gt; Business Reports &gt; By Parent Item</w:t>
            </w:r>
          </w:p>
        </w:tc>
        <w:tc>
          <w:tcPr>
            <w:tcW w:type="dxa" w:w="1544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~2 min</w:t>
            </w:r>
          </w:p>
        </w:tc>
      </w:tr>
      <w:tr>
        <w:tc>
          <w:tcPr>
            <w:tcW w:type="dxa" w:w="231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Business Report – Child Items</w:t>
            </w:r>
          </w:p>
        </w:tc>
        <w:tc>
          <w:tcPr>
            <w:tcW w:type="dxa" w:w="366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Seller Central &gt; Reports &gt; Business Reports &gt; By Child Item</w:t>
            </w:r>
          </w:p>
        </w:tc>
        <w:tc>
          <w:tcPr>
            <w:tcW w:type="dxa" w:w="1544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~2 min</w:t>
            </w:r>
          </w:p>
        </w:tc>
      </w:tr>
      <w:tr>
        <w:tc>
          <w:tcPr>
            <w:tcW w:type="dxa" w:w="23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Search Term Report (SP, SD, SB)</w:t>
            </w:r>
          </w:p>
        </w:tc>
        <w:tc>
          <w:tcPr>
            <w:tcW w:type="dxa" w:w="366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Advertising Console &gt; Reporting &gt; Search Term report — one export per ad type</w:t>
            </w:r>
          </w:p>
        </w:tc>
        <w:tc>
          <w:tcPr>
            <w:tcW w:type="dxa" w:w="1544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~5 min</w:t>
            </w:r>
          </w:p>
        </w:tc>
      </w:tr>
      <w:tr>
        <w:tc>
          <w:tcPr>
            <w:tcW w:type="dxa" w:w="231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Brand Analytics – SQP Report</w:t>
            </w:r>
          </w:p>
        </w:tc>
        <w:tc>
          <w:tcPr>
            <w:tcW w:type="dxa" w:w="366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Brand Registry &gt; Brand Analytics &gt; Search Query Performance</w:t>
            </w:r>
          </w:p>
        </w:tc>
        <w:tc>
          <w:tcPr>
            <w:tcW w:type="dxa" w:w="1544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~2 min</w:t>
            </w:r>
          </w:p>
        </w:tc>
      </w:tr>
      <w:tr>
        <w:tc>
          <w:tcPr>
            <w:tcW w:type="dxa" w:w="23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Placement Report</w:t>
            </w:r>
          </w:p>
        </w:tc>
        <w:tc>
          <w:tcPr>
            <w:tcW w:type="dxa" w:w="366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Advertising Console &gt; Sponsored Products &gt; Reporting &gt; Placement report</w:t>
            </w:r>
          </w:p>
        </w:tc>
        <w:tc>
          <w:tcPr>
            <w:tcW w:type="dxa" w:w="1544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~3 min</w:t>
            </w:r>
          </w:p>
        </w:tc>
      </w:tr>
      <w:tr>
        <w:tc>
          <w:tcPr>
            <w:tcW w:type="dxa" w:w="231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Purchased Product Report</w:t>
            </w:r>
          </w:p>
        </w:tc>
        <w:tc>
          <w:tcPr>
            <w:tcW w:type="dxa" w:w="366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Advertising Console &gt; Reporting &gt; Purchased Product report</w:t>
            </w:r>
          </w:p>
        </w:tc>
        <w:tc>
          <w:tcPr>
            <w:tcW w:type="dxa" w:w="1544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~2 min</w:t>
            </w:r>
          </w:p>
        </w:tc>
      </w:tr>
      <w:tr>
        <w:tc>
          <w:tcPr>
            <w:tcW w:type="dxa" w:w="23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Advertised Product Report</w:t>
            </w:r>
          </w:p>
        </w:tc>
        <w:tc>
          <w:tcPr>
            <w:tcW w:type="dxa" w:w="366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Advertising Console &gt; Reporting &gt; Advertised Product report</w:t>
            </w:r>
          </w:p>
        </w:tc>
        <w:tc>
          <w:tcPr>
            <w:tcW w:type="dxa" w:w="1544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~2 min</w:t>
            </w:r>
          </w:p>
        </w:tc>
      </w:tr>
      <w:tr>
        <w:tc>
          <w:tcPr>
            <w:tcW w:type="dxa" w:w="231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Bulk Operations Report (Bulk Sheet)</w:t>
            </w:r>
          </w:p>
        </w:tc>
        <w:tc>
          <w:tcPr>
            <w:tcW w:type="dxa" w:w="3666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Campaign Manager &gt; Bulk Operations &gt; Download &gt; all campaigns</w:t>
            </w:r>
          </w:p>
        </w:tc>
        <w:tc>
          <w:tcPr>
            <w:tcW w:type="dxa" w:w="1544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Last 30 days</w:t>
            </w:r>
          </w:p>
        </w:tc>
        <w:tc>
          <w:tcPr>
            <w:tcW w:type="dxa" w:w="2123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~2 min</w:t>
            </w:r>
          </w:p>
        </w:tc>
      </w:tr>
    </w:tbl>
    <w:p>
      <w:pPr>
        <w:shd w:fill="F2F2F2" w:val="clear"/>
        <w:spacing w:after="200" w:before="60"/>
        <w:ind w:left="100" w:right="100"/>
      </w:pPr>
      <w:r>
        <w:rPr>
          <w:i/>
          <w:iCs/>
          <w:color w:val="3C4B5C"/>
          <w:sz w:val="19"/>
          <w:szCs w:val="19"/>
        </w:rPr>
        <w:t xml:space="preserve">Note: If you sell on Vendor Central, the Business Reports, Brand Analytics SQP Report, and self-serve PPC reports above don't apply the same way. We'll ask for your Retail Analytics / Sales Diagnostic export and the equivalent DSP or Sponsored Ads reporting instead.</w:t>
      </w:r>
    </w:p>
    <w:p>
      <w:pPr>
        <w:pStyle w:val="Heading1"/>
        <w:pBdr>
          <w:bottom w:val="single" w:color="FF9900" w:sz="12" w:space="4"/>
        </w:pBdr>
        <w:spacing w:after="160" w:before="320"/>
      </w:pPr>
      <w:r>
        <w:rPr>
          <w:b/>
          <w:bCs/>
          <w:color w:val="102145"/>
          <w:sz w:val="28"/>
          <w:szCs w:val="28"/>
        </w:rPr>
        <w:t xml:space="preserve">What You'll Receive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A findings report covering every area above, written in plain language, not raw data dumps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A prioritized action plan you can hand to your own team, or that MBG can execute for you</w:t>
      </w:r>
    </w:p>
    <w:p>
      <w:pPr>
        <w:spacing w:after="80"/>
        <w:ind w:left="260"/>
      </w:pPr>
      <w:r>
        <w:rPr>
          <w:b/>
          <w:bCs/>
          <w:color w:val="FF9900"/>
          <w:sz w:val="21"/>
          <w:szCs w:val="21"/>
        </w:rPr>
        <w:t xml:space="preserve">✓  </w:t>
      </w:r>
      <w:r>
        <w:rPr>
          <w:color w:val="1A1A1A"/>
          <w:sz w:val="21"/>
          <w:szCs w:val="21"/>
        </w:rPr>
        <w:t xml:space="preserve">A walkthrough call to go over the findings together and answer questions</w:t>
      </w:r>
    </w:p>
    <w:sectPr>
      <w:headerReference w:type="default" r:id="rId7"/>
      <w:footerReference w:type="default" r:id="rId8"/>
      <w:pgSz w:w="12240" w:h="15840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3C4B5C"/>
        <w:sz w:val="16"/>
        <w:szCs w:val="16"/>
      </w:rPr>
      <w:t xml:space="preserve">My Brand Genius  |  Page </w:t>
    </w:r>
    <w:r>
      <w:rPr>
        <w:color w:val="3C4B5C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  <w:jc w:val="right"/>
    </w:pPr>
    <w:r>
      <w:rPr>
        <w:color w:val="3C4B5C"/>
        <w:sz w:val="16"/>
        <w:szCs w:val="16"/>
      </w:rPr>
      <w:t xml:space="preserve">My Brand Genius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2026-08-17T10:15:03.351Z</dcterms:created>
  <dcterms:modified xsi:type="dcterms:W3CDTF">2026-08-17T10:15:03.351Z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